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6 (ICT Services)</w:t>
      </w:r>
    </w:p>
    <w:p w:rsidR="00000000" w:rsidDel="00000000" w:rsidP="00000000" w:rsidRDefault="00000000" w:rsidRPr="00000000" w14:paraId="0000000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01.0" w:type="dxa"/>
        <w:jc w:val="left"/>
        <w:tblInd w:w="828.0" w:type="dxa"/>
        <w:tblLayout w:type="fixed"/>
        <w:tblLook w:val="0400"/>
      </w:tblPr>
      <w:tblGrid>
        <w:gridCol w:w="2741"/>
        <w:gridCol w:w="5460"/>
        <w:tblGridChange w:id="0">
          <w:tblGrid>
            <w:gridCol w:w="2741"/>
            <w:gridCol w:w="5460"/>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Property" </w:t>
            </w:r>
          </w:p>
        </w:tc>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property, other than real property and IPR, including the Buyer System, any equipment issued or made available to the Supplier by the Buyer in connection with this Contract;</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Software"</w:t>
            </w:r>
          </w:p>
        </w:tc>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which is owned by or licensed to the Buyer and which is or will be used by the Supplier for the purposes of providing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System"</w:t>
            </w:r>
          </w:p>
        </w:tc>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computing environment (consisting of hardware, software and/or telecommunications networks or equipment) used by the Buyer or the Supplier in connection with this Contract which is owned by or licensed to the Buyer by a third party and which interfaces with the Supplier System or which is necessary for the Buyer to receive the Deliverables;</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 off the shelf Software” or “COTS Software”</w:t>
            </w:r>
          </w:p>
        </w:tc>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Non-customised software where the IPR may be owned and licensed either by the Supplier or a third party depending on the context, and which is commercially available for purchase and subject to standard licence terms</w:t>
            </w:r>
          </w:p>
        </w:tc>
      </w:tr>
      <w:tr>
        <w:trPr>
          <w:cantSplit w:val="0"/>
          <w:tblHeader w:val="0"/>
        </w:trPr>
        <w:tc>
          <w:tcPr>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"Defect"</w:t>
            </w:r>
          </w:p>
        </w:tc>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w:t>
            </w:r>
          </w:p>
          <w:p w:rsidR="00000000" w:rsidDel="00000000" w:rsidP="00000000" w:rsidRDefault="00000000" w:rsidRPr="00000000" w14:paraId="0000000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damage or defect in the manufacturing of a Deliverable; or</w:t>
            </w:r>
          </w:p>
          <w:p w:rsidR="00000000" w:rsidDel="00000000" w:rsidP="00000000" w:rsidRDefault="00000000" w:rsidRPr="00000000" w14:paraId="0000001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error or failure of code within the Software which causes a Deliverable to malfunction or to produce unintelligible or incorrect results; or</w:t>
            </w:r>
          </w:p>
        </w:tc>
      </w:tr>
      <w:tr>
        <w:trPr>
          <w:cantSplit w:val="0"/>
          <w:tblHeader w:val="0"/>
        </w:trPr>
        <w:tc>
          <w:tcPr>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1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provide the performance, features and functionality specified in the requirements of the Buyer or the Documentation (including any adverse effect on response times) regardless of whether or not it prevents the relevant Deliverable from passing any Test required under this Call Off Contract; or</w:t>
            </w:r>
          </w:p>
          <w:p w:rsidR="00000000" w:rsidDel="00000000" w:rsidP="00000000" w:rsidRDefault="00000000" w:rsidRPr="00000000" w14:paraId="0000001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44"/>
              </w:tabs>
              <w:spacing w:after="120" w:before="0" w:line="240" w:lineRule="auto"/>
              <w:ind w:left="342" w:right="0" w:hanging="3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failure of any Deliverable to operate in conjunction with or interface with any other Deliverable in order to provide the performance, features and functionality specified in the requirements of the Buyer or the Documentation (including any adverse effect on response times) regardless of whether or not it prevents the relevant Deliverable from passing any Test required under this Contract;</w:t>
            </w:r>
          </w:p>
        </w:tc>
      </w:tr>
      <w:tr>
        <w:trPr>
          <w:cantSplit w:val="0"/>
          <w:tblHeader w:val="0"/>
        </w:trPr>
        <w:tc>
          <w:tcPr>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"Emergency Maintenance"</w:t>
            </w:r>
          </w:p>
        </w:tc>
        <w:tc>
          <w:tcPr>
            <w:shd w:fill="auto" w:val="clea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shd w:fill="auto" w:val="clea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Environment"</w:t>
            </w:r>
          </w:p>
        </w:tc>
        <w:tc>
          <w:tcPr>
            <w:shd w:fill="auto" w:val="clea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System and the Supplier System;</w:t>
            </w:r>
          </w:p>
        </w:tc>
      </w:tr>
      <w:tr>
        <w:trPr>
          <w:cantSplit w:val="0"/>
          <w:tblHeader w:val="0"/>
        </w:trPr>
        <w:tc>
          <w:tcPr>
            <w:shd w:fill="auto" w:val="clea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w:t>
            </w:r>
          </w:p>
        </w:tc>
        <w:tc>
          <w:tcPr>
            <w:shd w:fill="auto" w:val="clea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and any Software licensed by or through the Supplier, its Sub-Contractors or any third party to the Buyer for the purposes of or pursuant to this Call Off Contract, including any COTS Software;</w:t>
            </w:r>
          </w:p>
        </w:tc>
      </w:tr>
      <w:tr>
        <w:trPr>
          <w:cantSplit w:val="0"/>
          <w:tblHeader w:val="0"/>
        </w:trPr>
        <w:tc>
          <w:tcPr>
            <w:shd w:fill="auto" w:val="clea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p>
        </w:tc>
        <w:tc>
          <w:tcPr>
            <w:shd w:fill="auto" w:val="clea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 of this Schedule;</w:t>
            </w:r>
          </w:p>
        </w:tc>
      </w:tr>
      <w:tr>
        <w:trPr>
          <w:cantSplit w:val="0"/>
          <w:tblHeader w:val="0"/>
        </w:trPr>
        <w:tc>
          <w:tcPr>
            <w:shd w:fill="auto" w:val="clea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tc>
        <w:tc>
          <w:tcPr>
            <w:shd w:fill="auto" w:val="clea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program or code intended to destroy, interfere with, corrupt, or cause undesired effects on program files, data or other information, executable code or application software macros, whether or not its operation is immediate or delayed, and whether the malicious software is introduced wilfully, negligently or without knowledge of its existence;</w:t>
            </w:r>
          </w:p>
        </w:tc>
      </w:tr>
      <w:tr>
        <w:trPr>
          <w:cantSplit w:val="0"/>
          <w:tblHeader w:val="0"/>
        </w:trPr>
        <w:tc>
          <w:tcPr>
            <w:shd w:fill="auto" w:val="clea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Release"</w:t>
            </w:r>
          </w:p>
        </w:tc>
        <w:tc>
          <w:tcPr>
            <w:shd w:fill="auto" w:val="clea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shd w:fill="auto" w:val="clea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Software"</w:t>
            </w:r>
          </w:p>
        </w:tc>
        <w:tc>
          <w:tcPr>
            <w:shd w:fill="auto" w:val="clea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software that has its source code made available subject to an open-source licence under which the owner of the copyright and other IPR in such software provides the rights to use, study, change and distribute the software to any and all persons and for any and all purposes free of charge;</w:t>
            </w:r>
          </w:p>
        </w:tc>
      </w:tr>
      <w:tr>
        <w:trPr>
          <w:cantSplit w:val="0"/>
          <w:tblHeader w:val="0"/>
        </w:trPr>
        <w:tc>
          <w:tcPr>
            <w:shd w:fill="auto" w:val="clea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"Operating Environment"</w:t>
            </w:r>
          </w:p>
        </w:tc>
        <w:tc>
          <w:tcPr>
            <w:shd w:fill="auto" w:val="clea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2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or </w:t>
            </w:r>
          </w:p>
          <w:p w:rsidR="00000000" w:rsidDel="00000000" w:rsidP="00000000" w:rsidRDefault="00000000" w:rsidRPr="00000000" w14:paraId="0000002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02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44"/>
                <w:tab w:val="left" w:pos="342"/>
              </w:tabs>
              <w:spacing w:after="120" w:before="0" w:line="240" w:lineRule="auto"/>
              <w:ind w:left="342"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any part of the Supplier System is situated;</w:t>
            </w:r>
          </w:p>
        </w:tc>
      </w:tr>
      <w:tr>
        <w:trPr>
          <w:cantSplit w:val="0"/>
          <w:tblHeader w:val="0"/>
        </w:trPr>
        <w:tc>
          <w:tcPr>
            <w:shd w:fill="auto" w:val="clear"/>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p>
        </w:tc>
        <w:tc>
          <w:tcPr>
            <w:shd w:fill="auto" w:val="cle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8.2 of this Schedule;</w:t>
            </w:r>
          </w:p>
        </w:tc>
      </w:tr>
      <w:tr>
        <w:trPr>
          <w:cantSplit w:val="0"/>
          <w:tblHeader w:val="0"/>
        </w:trPr>
        <w:tc>
          <w:tcPr>
            <w:shd w:fill="auto" w:val="clea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p>
        </w:tc>
        <w:tc>
          <w:tcPr>
            <w:shd w:fill="auto" w:val="clea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6.1 of this Schedule;</w:t>
            </w:r>
          </w:p>
        </w:tc>
      </w:tr>
      <w:tr>
        <w:trPr>
          <w:cantSplit w:val="0"/>
          <w:tblHeader w:val="0"/>
        </w:trPr>
        <w:tc>
          <w:tcPr>
            <w:shd w:fill="auto" w:val="clear"/>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shd w:fill="auto" w:val="clea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Joint Schedule 1(Definitions), and for the purposes of this Call Off Schedule shall also include any premises from, to or at which physical interface with the Buyer System takes place;</w:t>
            </w:r>
          </w:p>
        </w:tc>
      </w:tr>
      <w:tr>
        <w:trPr>
          <w:cantSplit w:val="0"/>
          <w:tblHeader w:val="0"/>
        </w:trPr>
        <w:tc>
          <w:tcPr>
            <w:shd w:fill="auto" w:val="cle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w:t>
            </w:r>
          </w:p>
        </w:tc>
        <w:tc>
          <w:tcPr>
            <w:shd w:fill="auto" w:val="clea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Specially Written Software COTS Software and non-COTS Supplier and third party Software;</w:t>
            </w:r>
          </w:p>
        </w:tc>
      </w:tr>
      <w:tr>
        <w:trPr>
          <w:cantSplit w:val="0"/>
          <w:tblHeader w:val="0"/>
        </w:trPr>
        <w:tc>
          <w:tcPr>
            <w:shd w:fill="auto" w:val="cle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p>
        </w:tc>
        <w:tc>
          <w:tcPr>
            <w:shd w:fill="auto" w:val="cle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9.1 of this Schedule;</w:t>
            </w:r>
          </w:p>
        </w:tc>
      </w:tr>
      <w:tr>
        <w:trPr>
          <w:cantSplit w:val="0"/>
          <w:tblHeader w:val="0"/>
        </w:trPr>
        <w:tc>
          <w:tcPr>
            <w:shd w:fill="auto" w:val="clea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"Source Code"</w:t>
            </w:r>
          </w:p>
        </w:tc>
        <w:tc>
          <w:tcPr>
            <w:shd w:fill="auto" w:val="cle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computer programs and/or data in eye-readable form and in such form that it can be compiled or interpreted into equivalent binary code together with all related design comments, flow charts, technical information and documentation necessary for the use, reproduction, maintenance, modification and enhancement of such software;</w:t>
            </w:r>
          </w:p>
        </w:tc>
      </w:tr>
      <w:tr>
        <w:trPr>
          <w:cantSplit w:val="0"/>
          <w:tblHeader w:val="0"/>
        </w:trPr>
        <w:tc>
          <w:tcPr>
            <w:shd w:fill="auto" w:val="cle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"Specially Written Software"</w:t>
            </w:r>
          </w:p>
        </w:tc>
        <w:tc>
          <w:tcPr>
            <w:shd w:fill="auto" w:val="clea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software (including database software, linking instructions, test scripts, compilation instructions and test instructions) created by the Supplier (or by a Sub-Contractor or other third party on behalf of the Supplier) specifically for the purposes of this Contract, including any modifications or enhancements to COTS Software. For the avoidance of doubt Specially Written Software does not constitute New IPR;</w:t>
            </w:r>
          </w:p>
        </w:tc>
      </w:tr>
      <w:tr>
        <w:trPr>
          <w:cantSplit w:val="0"/>
          <w:tblHeader w:val="0"/>
        </w:trPr>
        <w:tc>
          <w:tcPr>
            <w:shd w:fill="auto" w:val="cle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System"</w:t>
            </w:r>
          </w:p>
        </w:tc>
        <w:tc>
          <w:tcPr>
            <w:shd w:fill="auto" w:val="clea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and communications technology system used by the Supplier in supplying the Deliverables, including the COTS Software, the Supplier Equipment, configuration and management utilities, calibration and testing tools and related cabling (but excluding the Buyer System);</w:t>
            </w:r>
          </w:p>
        </w:tc>
      </w:tr>
      <w:tr>
        <w:trPr>
          <w:cantSplit w:val="0"/>
          <w:tblHeader w:val="0"/>
        </w:trPr>
        <w:tc>
          <w:tcPr>
            <w:shd w:fill="auto" w:val="clea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3B">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hen this Schedule should be used</w:t>
      </w:r>
      <w:r w:rsidDel="00000000" w:rsidR="00000000" w:rsidRPr="00000000">
        <w:rPr>
          <w:rtl w:val="0"/>
        </w:rPr>
      </w:r>
    </w:p>
    <w:p w:rsidR="00000000" w:rsidDel="00000000" w:rsidP="00000000" w:rsidRDefault="00000000" w:rsidRPr="00000000" w14:paraId="0000003C">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3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3686"/>
          <w:tab w:val="left" w:pos="142"/>
        </w:tabs>
        <w:spacing w:after="240" w:before="120" w:line="240" w:lineRule="auto"/>
        <w:ind w:left="360" w:right="0" w:hanging="360"/>
        <w:jc w:val="left"/>
        <w:rPr>
          <w:rFonts w:ascii="Arial Bold" w:cs="Arial Bold" w:eastAsia="Arial Bold" w:hAnsi="Arial Bold"/>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Buyer due diligence requirements </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3686"/>
          <w:tab w:val="left" w:pos="142"/>
        </w:tabs>
        <w:spacing w:after="240" w:before="120" w:line="240" w:lineRule="auto"/>
        <w:ind w:left="936" w:right="0" w:hanging="57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suitability of the existing and (to the extent that it is defined or reasonably foreseeable at the Start Date) future Operating Environment; </w:t>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processes and procedures and the working methods of the Buyer; </w:t>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ownership, functionality, capacity, condition and suitability for use in the provision of the Deliverables of the Buyer Assets; and</w:t>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4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confirms that it has advised the Buyer in writing of:</w:t>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aspect, if any, of the Operating Environment that is not suitable for the provision of the ICT Services;</w:t>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actions needed to remedy each such unsuitable aspect; and</w:t>
      </w:r>
    </w:p>
    <w:p w:rsidR="00000000" w:rsidDel="00000000" w:rsidP="00000000" w:rsidRDefault="00000000" w:rsidRPr="00000000" w14:paraId="0000004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and the costs of those actions.</w:t>
      </w:r>
    </w:p>
    <w:p w:rsidR="00000000" w:rsidDel="00000000" w:rsidP="00000000" w:rsidRDefault="00000000" w:rsidRPr="00000000" w14:paraId="0000004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Licensed software warranty</w:t>
      </w:r>
    </w:p>
    <w:p w:rsidR="00000000" w:rsidDel="00000000" w:rsidP="00000000" w:rsidRDefault="00000000" w:rsidRPr="00000000" w14:paraId="0000004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represents and warrants that:</w:t>
      </w:r>
    </w:p>
    <w:p w:rsidR="00000000" w:rsidDel="00000000" w:rsidP="00000000" w:rsidRDefault="00000000" w:rsidRPr="00000000" w14:paraId="0000004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4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components of the Specially Written Software shall:</w:t>
      </w:r>
    </w:p>
    <w:p w:rsidR="00000000" w:rsidDel="00000000" w:rsidP="00000000" w:rsidRDefault="00000000" w:rsidRPr="00000000" w14:paraId="0000004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free from material design and programming errors;</w:t>
      </w:r>
    </w:p>
    <w:p w:rsidR="00000000" w:rsidDel="00000000" w:rsidP="00000000" w:rsidRDefault="00000000" w:rsidRPr="00000000" w14:paraId="0000004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 in all material respects in accordance with the relevant specifications contained in Call Off Schedule 14 (Service Levels) and Documentation; and</w:t>
      </w:r>
    </w:p>
    <w:p w:rsidR="00000000" w:rsidDel="00000000" w:rsidP="00000000" w:rsidRDefault="00000000" w:rsidRPr="00000000" w14:paraId="0000004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851"/>
        </w:tabs>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infringe any IPR.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Provision of ICT Services</w:t>
      </w:r>
    </w:p>
    <w:p w:rsidR="00000000" w:rsidDel="00000000" w:rsidP="00000000" w:rsidRDefault="00000000" w:rsidRPr="00000000" w14:paraId="0000004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5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5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5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Supplier System will be free of all encumbrances;</w:t>
      </w:r>
    </w:p>
    <w:p w:rsidR="00000000" w:rsidDel="00000000" w:rsidP="00000000" w:rsidRDefault="00000000" w:rsidRPr="00000000" w14:paraId="0000005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5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minimise any disruption to the Services and the ICT Environment  and/or the Buyer's operations when providing the Deliverables;</w:t>
      </w:r>
    </w:p>
    <w:p w:rsidR="00000000" w:rsidDel="00000000" w:rsidP="00000000" w:rsidRDefault="00000000" w:rsidRPr="00000000" w14:paraId="0000005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Standards and Quality Requirements</w:t>
      </w:r>
    </w:p>
    <w:p w:rsidR="00000000" w:rsidDel="00000000" w:rsidP="00000000" w:rsidRDefault="00000000" w:rsidRPr="00000000" w14:paraId="0000005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Quality Plans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5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the approval of the Quality Plans, the Supplier shall provide all Deliverables in accordance with the Quality Plans.</w:t>
      </w:r>
    </w:p>
    <w:p w:rsidR="00000000" w:rsidDel="00000000" w:rsidP="00000000" w:rsidRDefault="00000000" w:rsidRPr="00000000" w14:paraId="0000005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the Supplier Personnel shall at all times during the Call Off Contract Period:</w:t>
      </w:r>
    </w:p>
    <w:p w:rsidR="00000000" w:rsidDel="00000000" w:rsidP="00000000" w:rsidRDefault="00000000" w:rsidRPr="00000000" w14:paraId="0000005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appropriately experienced, qualified and trained to supply the Deliverables in accordance with this Contract;</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5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5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Audit</w:t>
      </w:r>
    </w:p>
    <w:p w:rsidR="00000000" w:rsidDel="00000000" w:rsidP="00000000" w:rsidRDefault="00000000" w:rsidRPr="00000000" w14:paraId="0000005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any auditor access to the Supplier premises to:</w:t>
      </w:r>
    </w:p>
    <w:p w:rsidR="00000000" w:rsidDel="00000000" w:rsidP="00000000" w:rsidRDefault="00000000" w:rsidRPr="00000000" w14:paraId="0000005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inspect the ICT Environment and the wider service delivery environment (or any part of them);</w:t>
      </w:r>
    </w:p>
    <w:p w:rsidR="00000000" w:rsidDel="00000000" w:rsidP="00000000" w:rsidRDefault="00000000" w:rsidRPr="00000000" w14:paraId="0000006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40" w:before="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the Supplier’s quality management systems including all relevant Quality Plans.</w:t>
      </w:r>
    </w:p>
    <w:p w:rsidR="00000000" w:rsidDel="00000000" w:rsidP="00000000" w:rsidRDefault="00000000" w:rsidRPr="00000000" w14:paraId="0000006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of the ICT Environment</w:t>
      </w:r>
    </w:p>
    <w:p w:rsidR="00000000" w:rsidDel="00000000" w:rsidP="00000000" w:rsidRDefault="00000000" w:rsidRPr="00000000" w14:paraId="0000006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specified by the Buyer in the Order Form, the Supplier shall create and maintain a rolling schedule of planned maintenance to the ICT Environment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Maintenance Schedule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make it available to the Buyer for Approval in accordance with the timetable and instructions specified by the Buyer.</w:t>
      </w:r>
    </w:p>
    <w:p w:rsidR="00000000" w:rsidDel="00000000" w:rsidP="00000000" w:rsidRDefault="00000000" w:rsidRPr="00000000" w14:paraId="0000006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Permitted Maintenance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Maintenance Schedule.</w:t>
      </w:r>
    </w:p>
    <w:p w:rsidR="00000000" w:rsidDel="00000000" w:rsidP="00000000" w:rsidRDefault="00000000" w:rsidRPr="00000000" w14:paraId="0000006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as much notice as is reasonably practicable to the Buyer prior to carrying out any Emergency Maintenance.</w:t>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240" w:before="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6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Intellectual Property Rights in ICT</w:t>
      </w:r>
    </w:p>
    <w:p w:rsidR="00000000" w:rsidDel="00000000" w:rsidP="00000000" w:rsidRDefault="00000000" w:rsidRPr="00000000" w14:paraId="0000006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Assignments granted by the Supplier: Specially Written Software </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assigns (by present assignment of future rights to take effect immediately on it coming into existence) to the Buyer with full guarantee (or shall procure assignment to the Buyer), title to and all rights and interest in the Specially Written Software together with and including:</w:t>
      </w:r>
    </w:p>
    <w:p w:rsidR="00000000" w:rsidDel="00000000" w:rsidP="00000000" w:rsidRDefault="00000000" w:rsidRPr="00000000" w14:paraId="0000006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Documentation, Source Code and the Object Code of the Specially Written Software; and</w:t>
      </w:r>
    </w:p>
    <w:p w:rsidR="00000000" w:rsidDel="00000000" w:rsidP="00000000" w:rsidRDefault="00000000" w:rsidRPr="00000000" w14:paraId="0000006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build instructions, test instructions, test scripts, test data, operating instructions and other documents and tools necessary for maintaining and supporting the Specially Written Software and the New IPR (together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Software Supporting Materials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6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 the Buyer of all Specially Written Software or New IPRs that are a modification, customisation, configuration or enhancement to any COTS Software; </w:t>
      </w:r>
    </w:p>
    <w:p w:rsidR="00000000" w:rsidDel="00000000" w:rsidP="00000000" w:rsidRDefault="00000000" w:rsidRPr="00000000" w14:paraId="0000006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 to the Buyer the Specially Written Software and any computer program elements of the New IPRs in both Source Code and Object Code forms together with relevant Documentation and all related Software Supporting Materials within seven days of completion or, if a relevant Milestone has been identified in an Implementation Plan, Achievement of that Milestone and shall provide updates of them promptly following each new release of the Specially Written Software, in each case on media that is reasonably acceptable to the Buyer and the Buyer shall become the owner of such media upon receipt; and</w:t>
      </w:r>
    </w:p>
    <w:p w:rsidR="00000000" w:rsidDel="00000000" w:rsidP="00000000" w:rsidRDefault="00000000" w:rsidRPr="00000000" w14:paraId="0000006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paragraph 9.1.2.2, provide full details to the Buyer of any of the Supplier’s Existing IPRs or Third Party IPRs which are embedded or which are an integral part of the Specially Written Software or New IPR and the Supplier hereby grants to the Buyer and shall procure that any relevant third party licensor shall grant to the Buyer a perpetual, irrevocable, non-exclusive, assignable, royalty-free licence to use, sub-license and/or commercially exploit such Supplier’s Existing IPRs and Third Party IPRs to the extent that it is necessary to enable the Buyer to obtain the full benefits of ownership of the Specially Written Software and New IPRs.</w:t>
      </w:r>
    </w:p>
    <w:p w:rsidR="00000000" w:rsidDel="00000000" w:rsidP="00000000" w:rsidRDefault="00000000" w:rsidRPr="00000000" w14:paraId="0000007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execute all such assignments as are required to ensure that any rights in the Specially Written Software and New IPRs are properly transferred to the Buyer.</w:t>
      </w:r>
    </w:p>
    <w:p w:rsidR="00000000" w:rsidDel="00000000" w:rsidP="00000000" w:rsidRDefault="00000000" w:rsidRPr="00000000" w14:paraId="0000007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Licences for non-COTS IPR from the Supplier and third parties to the Buyer</w:t>
      </w:r>
    </w:p>
    <w:p w:rsidR="00000000" w:rsidDel="00000000" w:rsidP="00000000" w:rsidRDefault="00000000" w:rsidRPr="00000000" w14:paraId="0000007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gives its Approval the Supplier must not use any:</w:t>
      </w:r>
    </w:p>
    <w:p w:rsidR="00000000" w:rsidDel="00000000" w:rsidP="00000000" w:rsidRDefault="00000000" w:rsidRPr="00000000" w14:paraId="0000007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its own Existing IPR that is not COTS Software;</w:t>
      </w:r>
    </w:p>
    <w:p w:rsidR="00000000" w:rsidDel="00000000" w:rsidP="00000000" w:rsidRDefault="00000000" w:rsidRPr="00000000" w14:paraId="0000007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third party software that is not COTS Software</w:t>
      </w:r>
    </w:p>
    <w:p w:rsidR="00000000" w:rsidDel="00000000" w:rsidP="00000000" w:rsidRDefault="00000000" w:rsidRPr="00000000" w14:paraId="0000007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the Supplier’s Existing IPR that is not COTS Software the Supplier shall grants to the Buyer a perpetual, royalty-free and non-exclusive licence to use adapt, and sub-license the same for any purpose relating to the Deliverables (or substantially equivalent deliverables) or for any purpose relating to the exercise of the Buyer’s (or, if the Buyer is a Central Government Body, any other Central Government Body’s) business or function including  the right to load, execute, store, transmit, display and copy (for the purposes of archiving, backing-up, loading, execution, storage, transmission or display)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Call Off Contract Period and after expiry of the Contract to the extent necessary to ensure continuity of service and an effective transition of Services to a Replacement Supplier.</w:t>
      </w:r>
    </w:p>
    <w:p w:rsidR="00000000" w:rsidDel="00000000" w:rsidP="00000000" w:rsidRDefault="00000000" w:rsidRPr="00000000" w14:paraId="0000007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Approves the use of third party Software that is not COTS Software the Supplier shall procure that the owners or the authorised licensors of any such Software grant a direct licence to the Buyer on terms at least equivalent to those set out in Paragraph 9.2.2. If the Supplier cannot obtain such a licence for the Buyer it shall:</w:t>
      </w:r>
    </w:p>
    <w:p w:rsidR="00000000" w:rsidDel="00000000" w:rsidP="00000000" w:rsidRDefault="00000000" w:rsidRPr="00000000" w14:paraId="0000007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in writing giving details of what licence terms can be obtained and whether there are alternative software providers which the Supplier could seek to use; and</w:t>
      </w:r>
    </w:p>
    <w:p w:rsidR="00000000" w:rsidDel="00000000" w:rsidP="00000000" w:rsidRDefault="00000000" w:rsidRPr="00000000" w14:paraId="0000007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only use such third party IPR as referred to at paragraph 9.2.3.1 if the Buyer Approves the terms of the licence from the relevant third party.</w:t>
      </w:r>
    </w:p>
    <w:p w:rsidR="00000000" w:rsidDel="00000000" w:rsidP="00000000" w:rsidRDefault="00000000" w:rsidRPr="00000000" w14:paraId="0000007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license to the Supplier’s Existing IPR in accordance with Paragraph 9.2.2 above, it must meet the requirement by making use of COTS Software or Specially Written Software.  </w:t>
      </w:r>
    </w:p>
    <w:p w:rsidR="00000000" w:rsidDel="00000000" w:rsidP="00000000" w:rsidRDefault="00000000" w:rsidRPr="00000000" w14:paraId="0000007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may terminate a licence granted under paragraph 9.2.1 by giving at least thirty (30) days’ notice in writing if there is an Authority Cause which constitutes a material Default which, if capable of remedy, is not remedied within twenty (20) Working Days after the Supplier gives the Buyer written notice specifying the breach and requiring its remedy.</w:t>
      </w:r>
    </w:p>
    <w:p w:rsidR="00000000" w:rsidDel="00000000" w:rsidP="00000000" w:rsidRDefault="00000000" w:rsidRPr="00000000" w14:paraId="0000007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ksv4uv" w:id="15"/>
      <w:bookmarkEnd w:id="15"/>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Licenses for COTS Software by the Supplier and third parties to the Buyer</w:t>
      </w:r>
    </w:p>
    <w:p w:rsidR="00000000" w:rsidDel="00000000" w:rsidP="00000000" w:rsidRDefault="00000000" w:rsidRPr="00000000" w14:paraId="0000007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either grant, or procure that the owners or the authorised licensors of any COTS Software grant, a direct licence to the Buyer on terms no less favourable than those standard commercial terms on which such software is usually made commercially available.</w:t>
      </w:r>
    </w:p>
    <w:p w:rsidR="00000000" w:rsidDel="00000000" w:rsidP="00000000" w:rsidRDefault="00000000" w:rsidRPr="00000000" w14:paraId="0000007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owns the COTS Software it shall make available the COTS software to a Replacement Supplier at a price and on terms no less favourable than those standard commercial terms on which such software is usually made commercially available.</w:t>
      </w:r>
    </w:p>
    <w:p w:rsidR="00000000" w:rsidDel="00000000" w:rsidP="00000000" w:rsidRDefault="00000000" w:rsidRPr="00000000" w14:paraId="0000007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third party is the owner of COTS Software licensed in accordance with this Paragraph 9.3 the Supplier shall support the Replacement Supplier to make arrangements with the owner or authorised licencee to renew the license at a price and on terms no less favourable than those standard commercial terms on which such software is usually made commercially available.</w:t>
      </w:r>
    </w:p>
    <w:p w:rsidR="00000000" w:rsidDel="00000000" w:rsidP="00000000" w:rsidRDefault="00000000" w:rsidRPr="00000000" w14:paraId="0000007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within seven (7) days of becoming aware of any COTS Software which in the next thirty-six (36) months:</w:t>
      </w:r>
    </w:p>
    <w:p w:rsidR="00000000" w:rsidDel="00000000" w:rsidP="00000000" w:rsidRDefault="00000000" w:rsidRPr="00000000" w14:paraId="0000008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maintained or supported by the developer; or</w:t>
      </w:r>
    </w:p>
    <w:p w:rsidR="00000000" w:rsidDel="00000000" w:rsidP="00000000" w:rsidRDefault="00000000" w:rsidRPr="00000000" w14:paraId="0000008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no longer be made commercially available</w:t>
      </w:r>
    </w:p>
    <w:p w:rsidR="00000000" w:rsidDel="00000000" w:rsidP="00000000" w:rsidRDefault="00000000" w:rsidRPr="00000000" w14:paraId="0000008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 to assign/novate licences</w:t>
      </w:r>
    </w:p>
    <w:p w:rsidR="00000000" w:rsidDel="00000000" w:rsidP="00000000" w:rsidRDefault="00000000" w:rsidRPr="00000000" w14:paraId="0000008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4sinio" w:id="16"/>
      <w:bookmarkEnd w:id="1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assign, novate or otherwise transfer its rights and obligations under the licences granted pursuant to paragraph 9.2 (to:</w:t>
      </w:r>
    </w:p>
    <w:p w:rsidR="00000000" w:rsidDel="00000000" w:rsidP="00000000" w:rsidRDefault="00000000" w:rsidRPr="00000000" w14:paraId="0000008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Central Government Body; or</w:t>
      </w:r>
    </w:p>
    <w:p w:rsidR="00000000" w:rsidDel="00000000" w:rsidP="00000000" w:rsidRDefault="00000000" w:rsidRPr="00000000" w14:paraId="0000008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any body (including any private sector body) which performs or carries on any of the functions and/or activities that previously had been performed and/or carried on by the Buyer.</w:t>
      </w:r>
    </w:p>
    <w:p w:rsidR="00000000" w:rsidDel="00000000" w:rsidP="00000000" w:rsidRDefault="00000000" w:rsidRPr="00000000" w14:paraId="0000008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jxsxqh"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ceases to be a Central Government Body, the successor body to the Buyer shall still be entitled to the benefit of the licences granted in paragraph 9.2.</w:t>
      </w:r>
    </w:p>
    <w:p w:rsidR="00000000" w:rsidDel="00000000" w:rsidP="00000000" w:rsidRDefault="00000000" w:rsidRPr="00000000" w14:paraId="0000008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z337ya" w:id="18"/>
      <w:bookmarkEnd w:id="18"/>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Licence granted by the Buyer</w:t>
      </w:r>
    </w:p>
    <w:p w:rsidR="00000000" w:rsidDel="00000000" w:rsidP="00000000" w:rsidRDefault="00000000" w:rsidRPr="00000000" w14:paraId="0000008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j2qqm3"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grants to the Supplier a royalty-free, non-exclusive, non-transferable licence during the Contract Period to use the Buyer Software and the Specially Written Software solely to the extent necessary for providing the Deliverables in accordance with this Contract, including the right to grant sub-licences to Sub-Contractors provided that any relevant Sub-Contractor has entered into a confidentiality undertaking with the Supplier on the same terms as set out in Clause 15 (Confidentiality).</w:t>
      </w:r>
    </w:p>
    <w:p w:rsidR="00000000" w:rsidDel="00000000" w:rsidP="00000000" w:rsidRDefault="00000000" w:rsidRPr="00000000" w14:paraId="0000008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y810tw" w:id="20"/>
      <w:bookmarkEnd w:id="20"/>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Source Publication</w:t>
      </w:r>
    </w:p>
    <w:p w:rsidR="00000000" w:rsidDel="00000000" w:rsidP="00000000" w:rsidRDefault="00000000" w:rsidRPr="00000000" w14:paraId="0000008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i7ojhp"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Buyer otherwise agrees in advance in writing (and subject to paragraph 9.6.3) all Specially Written Software and computer program elements of New IPR shall be created in a format, or able to be converted (in which case the Supplier shall also provide the converted format to the Buyer) into a format, which is:</w:t>
      </w:r>
    </w:p>
    <w:p w:rsidR="00000000" w:rsidDel="00000000" w:rsidP="00000000" w:rsidRDefault="00000000" w:rsidRPr="00000000" w14:paraId="0000008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suitable for publication by the Buyer as Open Source; and </w:t>
      </w:r>
    </w:p>
    <w:p w:rsidR="00000000" w:rsidDel="00000000" w:rsidP="00000000" w:rsidRDefault="00000000" w:rsidRPr="00000000" w14:paraId="0000008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based on Open Standards (where applicable),</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93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Buyer may, at its sole discretion, publish the same as Open Source.</w:t>
      </w:r>
    </w:p>
    <w:p w:rsidR="00000000" w:rsidDel="00000000" w:rsidP="00000000" w:rsidRDefault="00000000" w:rsidRPr="00000000" w14:paraId="0000008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1134"/>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ci93xb"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hereby warrants that the Specially Written Software and the New IPR:</w:t>
      </w:r>
    </w:p>
    <w:p w:rsidR="00000000" w:rsidDel="00000000" w:rsidP="00000000" w:rsidRDefault="00000000" w:rsidRPr="00000000" w14:paraId="0000008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suitable for release as Open Source and that the Supplier has used reasonable endeavours when developing the same to ensure that publication by the Buyer will not enable a third party to use them in any way which could reasonably be foreseen to compromise the operation, running or security of the Specially Written Software, New IPRs or the Buyer System;</w:t>
      </w:r>
    </w:p>
    <w:p w:rsidR="00000000" w:rsidDel="00000000" w:rsidP="00000000" w:rsidRDefault="00000000" w:rsidRPr="00000000" w14:paraId="0000009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have been developed using reasonable endeavours to ensure that their publication by the Buyer shall not cause any harm or damage to any party using them;</w:t>
      </w:r>
    </w:p>
    <w:p w:rsidR="00000000" w:rsidDel="00000000" w:rsidP="00000000" w:rsidRDefault="00000000" w:rsidRPr="00000000" w14:paraId="0000009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material which would bring the Buyer into disrepute;</w:t>
      </w:r>
    </w:p>
    <w:p w:rsidR="00000000" w:rsidDel="00000000" w:rsidP="00000000" w:rsidRDefault="00000000" w:rsidRPr="00000000" w14:paraId="0000009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can be published as Open Source without breaching the rights of any third party; </w:t>
      </w:r>
    </w:p>
    <w:p w:rsidR="00000000" w:rsidDel="00000000" w:rsidP="00000000" w:rsidRDefault="00000000" w:rsidRPr="00000000" w14:paraId="0000009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be supplied in a format suitable for publication as Open Source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the Open Source Publication Material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later than the date notified by the Buyer to the Supplier; and</w:t>
      </w:r>
    </w:p>
    <w:p w:rsidR="00000000" w:rsidDel="00000000" w:rsidP="00000000" w:rsidRDefault="00000000" w:rsidRPr="00000000" w14:paraId="0000009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2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 not contain any Malicious Software.</w:t>
      </w:r>
    </w:p>
    <w:p w:rsidR="00000000" w:rsidDel="00000000" w:rsidP="00000000" w:rsidRDefault="00000000" w:rsidRPr="00000000" w14:paraId="0000009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has Approved a request by the Supplier for any part of the Specially Written Software or New IPRs to be excluded from the requirement to be in an Open Source format due to the intention to embed or integrate Supplier Existing IPRs and/or Third Party IPRs (and where the Parties agree that such IPRs are not intended to be published as Open Source), the Supplier shall:</w:t>
      </w:r>
    </w:p>
    <w:p w:rsidR="00000000" w:rsidDel="00000000" w:rsidP="00000000" w:rsidRDefault="00000000" w:rsidRPr="00000000" w14:paraId="0000009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soon as reasonably practicable, provide written details of the nature of the IPRs and items or Deliverables based on IPRs which are to be excluded from Open Source publication; and </w:t>
      </w:r>
    </w:p>
    <w:p w:rsidR="00000000" w:rsidDel="00000000" w:rsidP="00000000" w:rsidRDefault="00000000" w:rsidRPr="00000000" w14:paraId="0000009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40" w:before="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the written details and information about the impact that inclusion of such IPRs or Deliverables based on such IPRs, will have on any other Specially Written Software and/or New IPRs and the Buyer’s ability to publish such other items or Deliverables as Open Source.</w:t>
      </w:r>
    </w:p>
    <w:p w:rsidR="00000000" w:rsidDel="00000000" w:rsidP="00000000" w:rsidRDefault="00000000" w:rsidRPr="00000000" w14:paraId="0000009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Malicious Software</w:t>
      </w:r>
    </w:p>
    <w:p w:rsidR="00000000" w:rsidDel="00000000" w:rsidP="00000000" w:rsidRDefault="00000000" w:rsidRPr="00000000" w14:paraId="0000009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qsh70q"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9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9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cost arising out of the actions of the Parties taken in compliance with the provisions of paragraph 9.7.2 shall be borne by the Parties as follows:</w:t>
      </w:r>
    </w:p>
    <w:p w:rsidR="00000000" w:rsidDel="00000000" w:rsidP="00000000" w:rsidRDefault="00000000" w:rsidRPr="00000000" w14:paraId="0000009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9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2552"/>
        </w:tabs>
        <w:spacing w:after="120" w:before="120" w:line="240" w:lineRule="auto"/>
        <w:ind w:left="2592" w:right="0" w:hanging="93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9E">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1"/>
          <w:i w:val="0"/>
          <w:smallCaps w:val="0"/>
          <w:strike w:val="0"/>
          <w:color w:val="000000"/>
          <w:sz w:val="24"/>
          <w:szCs w:val="24"/>
          <w:vertAlign w:val="baseline"/>
        </w:rPr>
      </w:pPr>
      <w:r w:rsidDel="00000000" w:rsidR="00000000" w:rsidRPr="00000000">
        <w:rPr>
          <w:rFonts w:ascii="Arial" w:cs="Arial" w:eastAsia="Arial" w:hAnsi="Arial"/>
          <w:b w:val="1"/>
          <w:i w:val="0"/>
          <w:smallCaps w:val="0"/>
          <w:strike w:val="0"/>
          <w:color w:val="000000"/>
          <w:sz w:val="24"/>
          <w:szCs w:val="24"/>
          <w:u w:val="none"/>
          <w:vertAlign w:val="baseline"/>
          <w:rtl w:val="0"/>
        </w:rPr>
        <w:tab/>
      </w:r>
      <w:r w:rsidDel="00000000" w:rsidR="00000000" w:rsidRPr="00000000">
        <w:rPr>
          <w:rFonts w:ascii="Arial" w:cs="Arial" w:eastAsia="Arial" w:hAnsi="Arial"/>
          <w:b w:val="1"/>
          <w:sz w:val="24"/>
          <w:szCs w:val="24"/>
          <w:rtl w:val="0"/>
        </w:rPr>
        <w:t xml:space="preserve">Not used</w:t>
      </w: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Framework Ref: RM</w:t>
      <w:tab/>
      <w:t xml:space="preserve">                                           </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Project Version: v1.0</w:t>
      <w:tab/>
      <w:tab/>
      <w:tab/>
      <w:t xml:space="preserve">1</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 xml:space="preserve">Model Version: v2.9</w:t>
      <w:tab/>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Ref:RM1557.13L4</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0">
    <w:pPr>
      <w:tabs>
        <w:tab w:val="center" w:pos="4513"/>
        <w:tab w:val="right"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2">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b w:val="1"/>
        <w:sz w:val="20"/>
        <w:szCs w:val="20"/>
        <w:rtl w:val="0"/>
      </w:rPr>
      <w:t xml:space="preserve">Call-Off Schedule 6 (ICT Services)</w:t>
    </w:r>
    <w:r w:rsidDel="00000000" w:rsidR="00000000" w:rsidRPr="00000000">
      <w:rPr>
        <w:rtl w:val="0"/>
      </w:rPr>
    </w:r>
  </w:p>
  <w:p w:rsidR="00000000" w:rsidDel="00000000" w:rsidP="00000000" w:rsidRDefault="00000000" w:rsidRPr="00000000" w14:paraId="000000A3">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A4">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36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lvl>
    <w:lvl w:ilvl="3">
      <w:start w:val="1"/>
      <w:numFmt w:val="decimal"/>
      <w:lvlText w:val="%1.%2.%3.%4."/>
      <w:lvlJc w:val="left"/>
      <w:pPr>
        <w:ind w:left="2592" w:hanging="936"/>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lowerLetter"/>
      <w:lvlText w:val="%1)"/>
      <w:lvlJc w:val="left"/>
      <w:pPr>
        <w:ind w:left="2346" w:hanging="360"/>
      </w:pPr>
      <w:rPr/>
    </w:lvl>
    <w:lvl w:ilvl="1">
      <w:start w:val="1"/>
      <w:numFmt w:val="lowerLetter"/>
      <w:lvlText w:val="%2."/>
      <w:lvlJc w:val="left"/>
      <w:pPr>
        <w:ind w:left="3066" w:hanging="360"/>
      </w:pPr>
      <w:rPr/>
    </w:lvl>
    <w:lvl w:ilvl="2">
      <w:start w:val="1"/>
      <w:numFmt w:val="lowerRoman"/>
      <w:lvlText w:val="%3."/>
      <w:lvlJc w:val="right"/>
      <w:pPr>
        <w:ind w:left="3786" w:hanging="180"/>
      </w:pPr>
      <w:rPr/>
    </w:lvl>
    <w:lvl w:ilvl="3">
      <w:start w:val="1"/>
      <w:numFmt w:val="decimal"/>
      <w:lvlText w:val="%4."/>
      <w:lvlJc w:val="left"/>
      <w:pPr>
        <w:ind w:left="4506" w:hanging="360"/>
      </w:pPr>
      <w:rPr/>
    </w:lvl>
    <w:lvl w:ilvl="4">
      <w:start w:val="1"/>
      <w:numFmt w:val="lowerLetter"/>
      <w:lvlText w:val="%5."/>
      <w:lvlJc w:val="left"/>
      <w:pPr>
        <w:ind w:left="5226" w:hanging="360"/>
      </w:pPr>
      <w:rPr/>
    </w:lvl>
    <w:lvl w:ilvl="5">
      <w:start w:val="1"/>
      <w:numFmt w:val="lowerRoman"/>
      <w:lvlText w:val="%6."/>
      <w:lvlJc w:val="right"/>
      <w:pPr>
        <w:ind w:left="5946" w:hanging="180"/>
      </w:pPr>
      <w:rPr/>
    </w:lvl>
    <w:lvl w:ilvl="6">
      <w:start w:val="1"/>
      <w:numFmt w:val="decimal"/>
      <w:lvlText w:val="%7."/>
      <w:lvlJc w:val="left"/>
      <w:pPr>
        <w:ind w:left="6666" w:hanging="360"/>
      </w:pPr>
      <w:rPr/>
    </w:lvl>
    <w:lvl w:ilvl="7">
      <w:start w:val="1"/>
      <w:numFmt w:val="lowerLetter"/>
      <w:lvlText w:val="%8."/>
      <w:lvlJc w:val="left"/>
      <w:pPr>
        <w:ind w:left="7386" w:hanging="360"/>
      </w:pPr>
      <w:rPr/>
    </w:lvl>
    <w:lvl w:ilvl="8">
      <w:start w:val="1"/>
      <w:numFmt w:val="lowerRoman"/>
      <w:lvlText w:val="%9."/>
      <w:lvlJc w:val="right"/>
      <w:pPr>
        <w:ind w:left="8106" w:hanging="18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val="1"/>
    <w:pPr>
      <w:numPr>
        <w:numId w:val="2"/>
      </w:numPr>
      <w:outlineLvl w:val="0"/>
    </w:pPr>
  </w:style>
  <w:style w:type="paragraph" w:styleId="Heading2">
    <w:name w:val="heading 2"/>
    <w:basedOn w:val="HouseStyleBase"/>
    <w:link w:val="Heading2Char"/>
    <w:uiPriority w:val="9"/>
    <w:qFormat w:val="1"/>
    <w:pPr>
      <w:numPr>
        <w:ilvl w:val="1"/>
        <w:numId w:val="2"/>
      </w:numPr>
      <w:outlineLvl w:val="1"/>
    </w:pPr>
    <w:rPr>
      <w:rFonts w:ascii="Calibri" w:hAnsi="Calibri"/>
    </w:rPr>
  </w:style>
  <w:style w:type="paragraph" w:styleId="Heading3">
    <w:name w:val="heading 3"/>
    <w:basedOn w:val="HouseStyleBase"/>
    <w:link w:val="Heading3Char"/>
    <w:uiPriority w:val="9"/>
    <w:qFormat w:val="1"/>
    <w:pPr>
      <w:numPr>
        <w:ilvl w:val="2"/>
        <w:numId w:val="2"/>
      </w:numPr>
      <w:outlineLvl w:val="2"/>
    </w:pPr>
  </w:style>
  <w:style w:type="paragraph" w:styleId="Heading4">
    <w:name w:val="heading 4"/>
    <w:basedOn w:val="HouseStyleBase"/>
    <w:link w:val="Heading4Char"/>
    <w:uiPriority w:val="9"/>
    <w:qFormat w:val="1"/>
    <w:pPr>
      <w:numPr>
        <w:ilvl w:val="3"/>
        <w:numId w:val="2"/>
      </w:numPr>
      <w:outlineLvl w:val="3"/>
    </w:pPr>
  </w:style>
  <w:style w:type="paragraph" w:styleId="Heading5">
    <w:name w:val="heading 5"/>
    <w:basedOn w:val="HouseStyleBase"/>
    <w:link w:val="Heading5Char"/>
    <w:uiPriority w:val="9"/>
    <w:qFormat w:val="1"/>
    <w:pPr>
      <w:numPr>
        <w:ilvl w:val="4"/>
        <w:numId w:val="2"/>
      </w:numPr>
      <w:outlineLvl w:val="4"/>
    </w:pPr>
  </w:style>
  <w:style w:type="paragraph" w:styleId="Heading6">
    <w:name w:val="heading 6"/>
    <w:basedOn w:val="HouseStyleBase"/>
    <w:qFormat w:val="1"/>
    <w:pPr>
      <w:numPr>
        <w:ilvl w:val="5"/>
        <w:numId w:val="2"/>
      </w:numPr>
      <w:outlineLvl w:val="5"/>
    </w:pPr>
  </w:style>
  <w:style w:type="paragraph" w:styleId="Heading7">
    <w:name w:val="heading 7"/>
    <w:basedOn w:val="HouseStyleBase"/>
    <w:qFormat w:val="1"/>
    <w:pPr>
      <w:numPr>
        <w:ilvl w:val="6"/>
        <w:numId w:val="2"/>
      </w:numPr>
      <w:outlineLvl w:val="6"/>
    </w:pPr>
  </w:style>
  <w:style w:type="paragraph" w:styleId="Heading8">
    <w:name w:val="heading 8"/>
    <w:basedOn w:val="HouseStyleBase"/>
    <w:qFormat w:val="1"/>
    <w:pPr>
      <w:numPr>
        <w:ilvl w:val="7"/>
        <w:numId w:val="2"/>
      </w:numPr>
      <w:outlineLvl w:val="7"/>
    </w:pPr>
  </w:style>
  <w:style w:type="paragraph" w:styleId="Heading9">
    <w:name w:val="heading 9"/>
    <w:basedOn w:val="HouseStyleBase"/>
    <w:qFormat w:val="1"/>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37"/>
      </w:numPr>
    </w:pPr>
    <w:rPr>
      <w:rFonts w:ascii="Calibri" w:hAnsi="Calibri"/>
    </w:rPr>
  </w:style>
  <w:style w:type="paragraph" w:styleId="BodyTextIndent2">
    <w:name w:val="Body Text Indent 2"/>
    <w:basedOn w:val="HouseStyleBase"/>
    <w:link w:val="BodyTextIndent2Char"/>
    <w:pPr>
      <w:numPr>
        <w:ilvl w:val="1"/>
        <w:numId w:val="37"/>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numPr>
        <w:numId w:val="5"/>
      </w:numPr>
      <w:jc w:val="center"/>
      <w:outlineLvl w:val="0"/>
    </w:pPr>
    <w:rPr>
      <w:b w:val="1"/>
      <w:caps w:val="1"/>
    </w:rPr>
  </w:style>
  <w:style w:type="paragraph" w:styleId="ScheduleL1" w:customStyle="1">
    <w:name w:val="Schedule L1"/>
    <w:basedOn w:val="HouseStyleBase"/>
    <w:pPr>
      <w:keepNext w:val="1"/>
      <w:numPr>
        <w:numId w:val="14"/>
      </w:numPr>
      <w:outlineLvl w:val="0"/>
    </w:pPr>
    <w:rPr>
      <w:rFonts w:ascii="Calibri" w:hAnsi="Calibri"/>
      <w:b w:val="1"/>
      <w:bCs w:val="1"/>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Title">
    <w:name w:val="Title"/>
    <w:basedOn w:val="Normal"/>
    <w:qFormat w:val="1"/>
    <w:pPr>
      <w:spacing w:after="60" w:before="240"/>
      <w:jc w:val="center"/>
    </w:pPr>
    <w:rPr>
      <w:rFonts w:ascii="Arial" w:hAnsi="Arial"/>
      <w:b w:val="1"/>
      <w:kern w:val="28"/>
      <w:sz w:val="32"/>
    </w:rPr>
  </w:style>
  <w:style w:type="paragraph" w:styleId="ListBullet2">
    <w:name w:val="List Bullet 2"/>
    <w:basedOn w:val="HouseStyleBase"/>
    <w:pPr>
      <w:numPr>
        <w:ilvl w:val="1"/>
        <w:numId w:val="6"/>
      </w:numPr>
    </w:pPr>
  </w:style>
  <w:style w:type="paragraph" w:styleId="HouseStyleBase" w:customStyle="1">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val="1"/>
    <w:pPr>
      <w:tabs>
        <w:tab w:val="left" w:pos="720"/>
        <w:tab w:val="right" w:leader="dot" w:pos="9029"/>
      </w:tabs>
      <w:adjustRightInd w:val="0"/>
      <w:spacing w:after="120"/>
      <w:ind w:left="720" w:hanging="720"/>
    </w:pPr>
    <w:rPr>
      <w:rFonts w:eastAsia="STZhongsong"/>
      <w:caps w:val="1"/>
      <w:sz w:val="22"/>
      <w:lang w:eastAsia="zh-CN"/>
    </w:rPr>
  </w:style>
  <w:style w:type="paragraph" w:styleId="TOC2">
    <w:name w:val="toc 2"/>
    <w:semiHidden w:val="1"/>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val="1"/>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val="1"/>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val="1"/>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val="1"/>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val="1"/>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val="1"/>
    <w:pPr>
      <w:tabs>
        <w:tab w:val="right" w:leader="dot" w:pos="9029"/>
      </w:tabs>
      <w:adjustRightInd w:val="0"/>
      <w:spacing w:after="120"/>
    </w:pPr>
    <w:rPr>
      <w:rFonts w:eastAsia="STZhongsong"/>
      <w:caps w:val="1"/>
      <w:sz w:val="22"/>
      <w:lang w:eastAsia="zh-CN"/>
    </w:rPr>
  </w:style>
  <w:style w:type="paragraph" w:styleId="TOC9">
    <w:name w:val="toc 9"/>
    <w:semiHidden w:val="1"/>
    <w:pPr>
      <w:tabs>
        <w:tab w:val="right" w:leader="dot" w:pos="9029"/>
      </w:tabs>
      <w:adjustRightInd w:val="0"/>
      <w:spacing w:after="120"/>
      <w:ind w:left="720"/>
    </w:pPr>
    <w:rPr>
      <w:rFonts w:eastAsia="STZhongsong"/>
      <w:sz w:val="22"/>
      <w:lang w:eastAsia="zh-CN"/>
    </w:rPr>
  </w:style>
  <w:style w:type="paragraph" w:styleId="HouseStyleBaseCentred" w:customStyle="1">
    <w:name w:val="House Style Base Centred"/>
    <w:pPr>
      <w:adjustRightInd w:val="0"/>
      <w:spacing w:after="240"/>
    </w:pPr>
    <w:rPr>
      <w:rFonts w:eastAsia="STZhongsong"/>
      <w:sz w:val="22"/>
      <w:lang w:eastAsia="zh-CN"/>
    </w:rPr>
  </w:style>
  <w:style w:type="paragraph" w:styleId="FootnoteText">
    <w:name w:val="footnote text"/>
    <w:basedOn w:val="HouseStyleBase"/>
    <w:semiHidden w:val="1"/>
    <w:pPr>
      <w:spacing w:after="60"/>
      <w:ind w:left="720" w:hanging="720"/>
    </w:pPr>
    <w:rPr>
      <w:sz w:val="16"/>
    </w:rPr>
  </w:style>
  <w:style w:type="character" w:styleId="FootnoteReference">
    <w:name w:val="footnote reference"/>
    <w:uiPriority w:val="99"/>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pPr>
      <w:spacing w:after="120"/>
      <w:ind w:left="720" w:hanging="720"/>
    </w:pPr>
    <w:rPr>
      <w:sz w:val="18"/>
    </w:rPr>
  </w:style>
  <w:style w:type="character" w:styleId="EndnoteReference">
    <w:name w:val="end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numPr>
        <w:numId w:val="3"/>
      </w:numPr>
      <w:jc w:val="center"/>
      <w:outlineLvl w:val="0"/>
    </w:pPr>
    <w:rPr>
      <w:b w:val="1"/>
      <w:caps w:val="1"/>
    </w:rPr>
  </w:style>
  <w:style w:type="paragraph" w:styleId="RecitalNumbering" w:customStyle="1">
    <w:name w:val="Recital Numbering"/>
    <w:basedOn w:val="HouseStyleBase"/>
    <w:pPr>
      <w:numPr>
        <w:numId w:val="7"/>
      </w:numPr>
      <w:outlineLvl w:val="0"/>
    </w:pPr>
  </w:style>
  <w:style w:type="paragraph" w:styleId="DefinitionNumbering1" w:customStyle="1">
    <w:name w:val="Definition Numbering 1"/>
    <w:basedOn w:val="HouseStyleBase"/>
    <w:pPr>
      <w:numPr>
        <w:ilvl w:val="2"/>
        <w:numId w:val="37"/>
      </w:numPr>
      <w:spacing w:after="120"/>
      <w:outlineLvl w:val="0"/>
    </w:pPr>
    <w:rPr>
      <w:rFonts w:ascii="Calibri" w:hAnsi="Calibri"/>
    </w:rPr>
  </w:style>
  <w:style w:type="paragraph" w:styleId="DefinitionNumbering2" w:customStyle="1">
    <w:name w:val="Definition Numbering 2"/>
    <w:basedOn w:val="HouseStyleBase"/>
    <w:pPr>
      <w:numPr>
        <w:ilvl w:val="3"/>
        <w:numId w:val="37"/>
      </w:numPr>
      <w:outlineLvl w:val="1"/>
    </w:pPr>
  </w:style>
  <w:style w:type="paragraph" w:styleId="DefinitionNumbering3" w:customStyle="1">
    <w:name w:val="Definition Numbering 3"/>
    <w:basedOn w:val="HouseStyleBase"/>
    <w:pPr>
      <w:numPr>
        <w:ilvl w:val="4"/>
        <w:numId w:val="37"/>
      </w:numPr>
      <w:outlineLvl w:val="2"/>
    </w:pPr>
  </w:style>
  <w:style w:type="paragraph" w:styleId="DefinitionNumbering4" w:customStyle="1">
    <w:name w:val="Definition Numbering 4"/>
    <w:basedOn w:val="HouseStyleBase"/>
    <w:pPr>
      <w:numPr>
        <w:ilvl w:val="5"/>
        <w:numId w:val="37"/>
      </w:numPr>
      <w:outlineLvl w:val="3"/>
    </w:pPr>
  </w:style>
  <w:style w:type="paragraph" w:styleId="DefinitionNumbering5" w:customStyle="1">
    <w:name w:val="Definition Numbering 5"/>
    <w:basedOn w:val="HouseStyleBase"/>
    <w:pPr>
      <w:numPr>
        <w:ilvl w:val="6"/>
        <w:numId w:val="37"/>
      </w:numPr>
      <w:outlineLvl w:val="4"/>
    </w:pPr>
  </w:style>
  <w:style w:type="paragraph" w:styleId="DefinitionNumbering6" w:customStyle="1">
    <w:name w:val="Definition Numbering 6"/>
    <w:basedOn w:val="HouseStyleBase"/>
    <w:pPr>
      <w:numPr>
        <w:ilvl w:val="7"/>
        <w:numId w:val="37"/>
      </w:numPr>
      <w:outlineLvl w:val="5"/>
    </w:pPr>
  </w:style>
  <w:style w:type="paragraph" w:styleId="DefinitionNumbering7" w:customStyle="1">
    <w:name w:val="Definition Numbering 7"/>
    <w:basedOn w:val="HouseStyleBase"/>
    <w:pPr>
      <w:numPr>
        <w:ilvl w:val="8"/>
        <w:numId w:val="37"/>
      </w:numPr>
      <w:outlineLvl w:val="6"/>
    </w:pPr>
  </w:style>
  <w:style w:type="paragraph" w:styleId="DefinitionNumbering8" w:customStyle="1">
    <w:name w:val="Definition Numbering 8"/>
    <w:basedOn w:val="HouseStyleBase"/>
    <w:pPr>
      <w:numPr>
        <w:ilvl w:val="7"/>
        <w:numId w:val="8"/>
      </w:numPr>
      <w:outlineLvl w:val="7"/>
    </w:pPr>
  </w:style>
  <w:style w:type="paragraph" w:styleId="DefinitionNumbering9" w:customStyle="1">
    <w:name w:val="Definition Numbering 9"/>
    <w:basedOn w:val="HouseStyleBase"/>
    <w:pPr>
      <w:numPr>
        <w:ilvl w:val="8"/>
        <w:numId w:val="8"/>
      </w:numPr>
      <w:outlineLvl w:val="8"/>
    </w:pPr>
  </w:style>
  <w:style w:type="paragraph" w:styleId="ListBullet1" w:customStyle="1">
    <w:name w:val="List Bullet 1"/>
    <w:basedOn w:val="HouseStyleBase"/>
    <w:pPr>
      <w:numPr>
        <w:numId w:val="6"/>
      </w:numPr>
    </w:pPr>
  </w:style>
  <w:style w:type="paragraph" w:styleId="ListBullet3">
    <w:name w:val="List Bullet 3"/>
    <w:basedOn w:val="HouseStyleBase"/>
    <w:pPr>
      <w:numPr>
        <w:ilvl w:val="2"/>
        <w:numId w:val="6"/>
      </w:numPr>
    </w:pPr>
  </w:style>
  <w:style w:type="paragraph" w:styleId="ListBullet4">
    <w:name w:val="List Bullet 4"/>
    <w:basedOn w:val="HouseStyleBase"/>
    <w:pPr>
      <w:numPr>
        <w:ilvl w:val="3"/>
        <w:numId w:val="6"/>
      </w:numPr>
    </w:pPr>
  </w:style>
  <w:style w:type="paragraph" w:styleId="ListBullet5">
    <w:name w:val="List Bullet 5"/>
    <w:basedOn w:val="HouseStyleBase"/>
    <w:pPr>
      <w:numPr>
        <w:ilvl w:val="4"/>
        <w:numId w:val="6"/>
      </w:numPr>
    </w:pPr>
  </w:style>
  <w:style w:type="paragraph" w:styleId="ListBullet6" w:customStyle="1">
    <w:name w:val="List Bullet 6"/>
    <w:basedOn w:val="HouseStyleBase"/>
    <w:pPr>
      <w:numPr>
        <w:ilvl w:val="5"/>
        <w:numId w:val="6"/>
      </w:numPr>
    </w:pPr>
  </w:style>
  <w:style w:type="paragraph" w:styleId="ListBullet7" w:customStyle="1">
    <w:name w:val="List Bullet 7"/>
    <w:basedOn w:val="HouseStyleBase"/>
    <w:pPr>
      <w:numPr>
        <w:ilvl w:val="6"/>
        <w:numId w:val="6"/>
      </w:numPr>
    </w:pPr>
  </w:style>
  <w:style w:type="paragraph" w:styleId="ListBullet8" w:customStyle="1">
    <w:name w:val="List Bullet 8"/>
    <w:basedOn w:val="HouseStyleBase"/>
    <w:pPr>
      <w:numPr>
        <w:ilvl w:val="7"/>
        <w:numId w:val="6"/>
      </w:numPr>
    </w:pPr>
  </w:style>
  <w:style w:type="paragraph" w:styleId="ListBullet9" w:customStyle="1">
    <w:name w:val="List Bullet 9"/>
    <w:basedOn w:val="HouseStyleBase"/>
    <w:pPr>
      <w:numPr>
        <w:ilvl w:val="8"/>
        <w:numId w:val="6"/>
      </w:numPr>
    </w:pPr>
  </w:style>
  <w:style w:type="paragraph" w:styleId="SchPart" w:customStyle="1">
    <w:name w:val="SchPart"/>
    <w:basedOn w:val="HouseStyleBaseCentred"/>
    <w:next w:val="MarginText"/>
    <w:pPr>
      <w:keepNext w:val="1"/>
      <w:numPr>
        <w:ilvl w:val="1"/>
        <w:numId w:val="5"/>
      </w:numPr>
      <w:jc w:val="center"/>
      <w:outlineLvl w:val="1"/>
    </w:pPr>
    <w:rPr>
      <w:b w:val="1"/>
    </w:rPr>
  </w:style>
  <w:style w:type="paragraph" w:styleId="ScheduleL2" w:customStyle="1">
    <w:name w:val="Schedule L2"/>
    <w:basedOn w:val="HouseStyleBase"/>
    <w:pPr>
      <w:numPr>
        <w:ilvl w:val="1"/>
        <w:numId w:val="14"/>
      </w:numPr>
      <w:outlineLvl w:val="1"/>
    </w:pPr>
    <w:rPr>
      <w:rFonts w:ascii="Calibri" w:hAnsi="Calibri"/>
    </w:rPr>
  </w:style>
  <w:style w:type="paragraph" w:styleId="ScheduleL3" w:customStyle="1">
    <w:name w:val="Schedule L3"/>
    <w:basedOn w:val="HouseStyleBase"/>
    <w:pPr>
      <w:numPr>
        <w:ilvl w:val="2"/>
        <w:numId w:val="14"/>
      </w:numPr>
      <w:outlineLvl w:val="2"/>
    </w:pPr>
    <w:rPr>
      <w:rFonts w:ascii="Calibri" w:hAnsi="Calibri"/>
    </w:rPr>
  </w:style>
  <w:style w:type="paragraph" w:styleId="ScheduleL4" w:customStyle="1">
    <w:name w:val="Schedule L4"/>
    <w:basedOn w:val="HouseStyleBase"/>
    <w:pPr>
      <w:numPr>
        <w:ilvl w:val="3"/>
        <w:numId w:val="14"/>
      </w:numPr>
      <w:outlineLvl w:val="3"/>
    </w:pPr>
  </w:style>
  <w:style w:type="paragraph" w:styleId="ScheduleL5" w:customStyle="1">
    <w:name w:val="Schedule L5"/>
    <w:basedOn w:val="HouseStyleBase"/>
    <w:pPr>
      <w:numPr>
        <w:ilvl w:val="4"/>
        <w:numId w:val="14"/>
      </w:numPr>
      <w:outlineLvl w:val="4"/>
    </w:pPr>
  </w:style>
  <w:style w:type="paragraph" w:styleId="ScheduleL6" w:customStyle="1">
    <w:name w:val="Schedule L6"/>
    <w:basedOn w:val="HouseStyleBase"/>
    <w:pPr>
      <w:numPr>
        <w:ilvl w:val="5"/>
        <w:numId w:val="14"/>
      </w:numPr>
      <w:outlineLvl w:val="5"/>
    </w:pPr>
  </w:style>
  <w:style w:type="paragraph" w:styleId="ScheduleL7" w:customStyle="1">
    <w:name w:val="Schedule L7"/>
    <w:basedOn w:val="HouseStyleBase"/>
    <w:pPr>
      <w:numPr>
        <w:ilvl w:val="6"/>
        <w:numId w:val="14"/>
      </w:numPr>
      <w:outlineLvl w:val="6"/>
    </w:pPr>
  </w:style>
  <w:style w:type="paragraph" w:styleId="ScheduleL8" w:customStyle="1">
    <w:name w:val="Schedule L8"/>
    <w:basedOn w:val="HouseStyleBase"/>
    <w:pPr>
      <w:numPr>
        <w:ilvl w:val="7"/>
        <w:numId w:val="14"/>
      </w:numPr>
      <w:outlineLvl w:val="7"/>
    </w:pPr>
  </w:style>
  <w:style w:type="paragraph" w:styleId="ScheduleL9" w:customStyle="1">
    <w:name w:val="Schedule L9"/>
    <w:basedOn w:val="HouseStyleBase"/>
    <w:pPr>
      <w:numPr>
        <w:ilvl w:val="8"/>
        <w:numId w:val="14"/>
      </w:numPr>
      <w:outlineLvl w:val="8"/>
    </w:pPr>
  </w:style>
  <w:style w:type="paragraph" w:styleId="SchSection" w:customStyle="1">
    <w:name w:val="SchSection"/>
    <w:basedOn w:val="HouseStyleBaseCentred"/>
    <w:next w:val="MarginText"/>
    <w:pPr>
      <w:keepNext w:val="1"/>
      <w:numPr>
        <w:ilvl w:val="2"/>
        <w:numId w:val="5"/>
      </w:numPr>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numPr>
        <w:ilvl w:val="1"/>
        <w:numId w:val="3"/>
      </w:numPr>
      <w:jc w:val="center"/>
      <w:outlineLvl w:val="1"/>
    </w:pPr>
    <w:rPr>
      <w:b w:val="1"/>
    </w:rPr>
  </w:style>
  <w:style w:type="paragraph" w:styleId="RecitalNumbering2" w:customStyle="1">
    <w:name w:val="Recital Numbering 2"/>
    <w:basedOn w:val="HouseStyleBase"/>
    <w:pPr>
      <w:numPr>
        <w:ilvl w:val="1"/>
        <w:numId w:val="7"/>
      </w:numPr>
      <w:overflowPunct w:val="0"/>
      <w:autoSpaceDE w:val="0"/>
      <w:autoSpaceDN w:val="0"/>
      <w:textAlignment w:val="baseline"/>
    </w:pPr>
  </w:style>
  <w:style w:type="paragraph" w:styleId="RecitalNumbering3" w:customStyle="1">
    <w:name w:val="Recital Numbering 3"/>
    <w:basedOn w:val="HouseStyleBase"/>
    <w:pPr>
      <w:numPr>
        <w:ilvl w:val="2"/>
        <w:numId w:val="7"/>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eastAsia="STZhongsong" w:hAnsi="Calibri"/>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autoRedefine w:val="1"/>
    <w:pPr>
      <w:ind w:left="220" w:hanging="220"/>
    </w:pPr>
  </w:style>
  <w:style w:type="paragraph" w:styleId="Index2">
    <w:name w:val="index 2"/>
    <w:basedOn w:val="Normal"/>
    <w:next w:val="Normal"/>
    <w:autoRedefine w:val="1"/>
    <w:pPr>
      <w:ind w:left="440" w:hanging="220"/>
    </w:p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numPr>
        <w:numId w:val="9"/>
      </w:numPr>
      <w:contextualSpacing w:val="1"/>
    </w:pPr>
  </w:style>
  <w:style w:type="paragraph" w:styleId="ListNumber2">
    <w:name w:val="List Number 2"/>
    <w:basedOn w:val="Normal"/>
    <w:pPr>
      <w:numPr>
        <w:numId w:val="10"/>
      </w:numPr>
      <w:contextualSpacing w:val="1"/>
    </w:pPr>
  </w:style>
  <w:style w:type="paragraph" w:styleId="ListNumber3">
    <w:name w:val="List Number 3"/>
    <w:basedOn w:val="Normal"/>
    <w:pPr>
      <w:numPr>
        <w:numId w:val="11"/>
      </w:numPr>
      <w:contextualSpacing w:val="1"/>
    </w:pPr>
  </w:style>
  <w:style w:type="paragraph" w:styleId="ListNumber4">
    <w:name w:val="List Number 4"/>
    <w:basedOn w:val="Normal"/>
    <w:pPr>
      <w:numPr>
        <w:numId w:val="12"/>
      </w:numPr>
      <w:contextualSpacing w:val="1"/>
    </w:pPr>
  </w:style>
  <w:style w:type="paragraph" w:styleId="ListNumber5">
    <w:name w:val="List Number 5"/>
    <w:basedOn w:val="Normal"/>
    <w:pPr>
      <w:numPr>
        <w:numId w:val="13"/>
      </w:numPr>
      <w:contextualSpacing w:val="1"/>
    </w:pPr>
  </w:style>
  <w:style w:type="paragraph" w:styleId="ListParagraph">
    <w:name w:val="List Paragraph"/>
    <w:basedOn w:val="Normal"/>
    <w:uiPriority w:val="34"/>
    <w:qFormat w:val="1"/>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qFormat w:val="1"/>
    <w:pPr>
      <w:spacing w:after="60"/>
      <w:jc w:val="center"/>
      <w:outlineLvl w:val="1"/>
    </w:pPr>
    <w:rPr>
      <w:rFonts w:ascii="Cambria" w:hAnsi="Cambria"/>
      <w:sz w:val="24"/>
      <w:szCs w:val="24"/>
    </w:rPr>
  </w:style>
  <w:style w:type="character" w:styleId="SubtitleChar" w:customStyle="1">
    <w:name w:val="Subtitle Char"/>
    <w:link w:val="Subtitle"/>
    <w:rPr>
      <w:rFonts w:ascii="Cambria" w:cs="Times New Roman" w:eastAsia="Times New Roman"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pPr>
      <w:keepNext w:val="1"/>
      <w:numPr>
        <w:numId w:val="0"/>
      </w:numPr>
      <w:overflowPunct w:val="0"/>
      <w:autoSpaceDE w:val="0"/>
      <w:autoSpaceDN w:val="0"/>
      <w:spacing w:after="60" w:before="240" w:line="360" w:lineRule="auto"/>
      <w:textAlignment w:val="baseline"/>
      <w:outlineLvl w:val="9"/>
    </w:pPr>
    <w:rPr>
      <w:rFonts w:ascii="Cambria" w:eastAsia="Times New Roman" w:hAnsi="Cambria"/>
      <w:b w:val="1"/>
      <w:bCs w:val="1"/>
      <w:kern w:val="32"/>
      <w:sz w:val="32"/>
      <w:szCs w:val="32"/>
      <w:lang w:eastAsia="en-US"/>
    </w:rPr>
  </w:style>
  <w:style w:type="character" w:styleId="Heading1Char" w:customStyle="1">
    <w:name w:val="Heading 1 Char"/>
    <w:link w:val="Heading1"/>
    <w:uiPriority w:val="9"/>
    <w:rPr>
      <w:rFonts w:eastAsia="STZhongsong"/>
      <w:sz w:val="22"/>
      <w:lang w:eastAsia="zh-CN"/>
    </w:rPr>
  </w:style>
  <w:style w:type="character" w:styleId="Heading2Char" w:customStyle="1">
    <w:name w:val="Heading 2 Char"/>
    <w:link w:val="Heading2"/>
    <w:uiPriority w:val="9"/>
    <w:rPr>
      <w:rFonts w:ascii="Calibri" w:eastAsia="STZhongsong" w:hAnsi="Calibri"/>
      <w:sz w:val="22"/>
      <w:lang w:eastAsia="zh-CN"/>
    </w:rPr>
  </w:style>
  <w:style w:type="character" w:styleId="Heading3Char" w:customStyle="1">
    <w:name w:val="Heading 3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link w:val="Heading5"/>
    <w:uiPriority w:val="9"/>
    <w:locked w:val="1"/>
    <w:rPr>
      <w:rFonts w:eastAsia="STZhongsong"/>
      <w:sz w:val="22"/>
      <w:lang w:eastAsia="zh-CN"/>
    </w:rPr>
  </w:style>
  <w:style w:type="character" w:styleId="MarginTextChar" w:customStyle="1">
    <w:name w:val="Margin Text Char"/>
    <w:link w:val="MarginText"/>
    <w:rPr>
      <w:rFonts w:ascii="Calibri" w:eastAsia="STZhongsong" w:hAnsi="Calibri"/>
      <w:sz w:val="22"/>
      <w:lang w:eastAsia="zh-CN"/>
    </w:rPr>
  </w:style>
  <w:style w:type="character" w:styleId="BodyTextIndent2Char" w:customStyle="1">
    <w:name w:val="Body Text Indent 2 Char"/>
    <w:link w:val="BodyTextIndent2"/>
    <w:rPr>
      <w:rFonts w:eastAsia="STZhongsong"/>
      <w:sz w:val="22"/>
      <w:lang w:eastAsia="zh-CN"/>
    </w:rPr>
  </w:style>
  <w:style w:type="paragraph" w:styleId="PartDes" w:customStyle="1">
    <w:name w:val="PartDes"/>
    <w:basedOn w:val="Normal"/>
    <w:qFormat w:val="1"/>
    <w:pPr>
      <w:overflowPunct w:val="1"/>
      <w:autoSpaceDE w:val="1"/>
      <w:autoSpaceDN w:val="1"/>
      <w:adjustRightInd w:val="1"/>
      <w:spacing w:after="120" w:before="120" w:line="240" w:lineRule="auto"/>
      <w:jc w:val="center"/>
      <w:textAlignment w:val="auto"/>
    </w:pPr>
    <w:rPr>
      <w:rFonts w:ascii="Trebuchet MS" w:eastAsia="Trebuchet MS" w:hAnsi="Trebuchet MS"/>
      <w:b w:val="1"/>
      <w:bCs w:val="1"/>
      <w:szCs w:val="22"/>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szCs w:val="22"/>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lang w:eastAsia="en-US"/>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szCs w:val="22"/>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line="240" w:lineRule="auto"/>
      <w:textAlignment w:val="auto"/>
    </w:pPr>
    <w:rPr>
      <w:rFonts w:ascii="Calibri" w:cs="Arial" w:hAnsi="Calibri"/>
      <w:szCs w:val="22"/>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line="240" w:lineRule="auto"/>
      <w:textAlignment w:val="auto"/>
    </w:pPr>
    <w:rPr>
      <w:rFonts w:ascii="Calibri" w:cs="Arial" w:hAnsi="Calibri"/>
      <w:b w:val="1"/>
      <w:szCs w:val="22"/>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qFormat w:val="1"/>
    <w:pPr>
      <w:numPr>
        <w:numId w:val="18"/>
      </w:numPr>
      <w:tabs>
        <w:tab w:val="left" w:pos="-9"/>
      </w:tabs>
      <w:spacing w:after="120" w:line="240" w:lineRule="auto"/>
    </w:pPr>
    <w:rPr>
      <w:rFonts w:ascii="Arial" w:cs="Arial" w:hAnsi="Arial"/>
      <w:szCs w:val="22"/>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line="240" w:lineRule="auto"/>
      <w:ind w:left="-108"/>
      <w:jc w:val="left"/>
    </w:pPr>
    <w:rPr>
      <w:rFonts w:ascii="Arial" w:cs="Arial" w:hAnsi="Arial"/>
      <w:b w:val="1"/>
      <w:szCs w:val="22"/>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val="1"/>
    <w:rsid w:val="00014AD9"/>
    <w:pPr>
      <w:numPr>
        <w:numId w:val="86"/>
      </w:numPr>
      <w:tabs>
        <w:tab w:val="left" w:pos="851"/>
      </w:tabs>
      <w:spacing w:line="240" w:lineRule="auto"/>
    </w:pPr>
    <w:rPr>
      <w:rFonts w:ascii="Calibri" w:cs="Arial" w:hAnsi="Calibri"/>
      <w:szCs w:val="22"/>
    </w:rPr>
  </w:style>
  <w:style w:type="character" w:styleId="GPSL1SchedulenumberedChar1" w:customStyle="1">
    <w:name w:val="GPS L1 Schedule numbered Char1"/>
    <w:link w:val="GPSL1Schedulenumbered"/>
    <w:locked w:val="1"/>
    <w:rsid w:val="00014AD9"/>
    <w:rPr>
      <w:rFonts w:ascii="Calibri" w:cs="Arial" w:hAnsi="Calibri"/>
      <w:sz w:val="22"/>
      <w:szCs w:val="22"/>
      <w:lang w:eastAsia="en-US"/>
    </w:rPr>
  </w:style>
  <w:style w:type="character" w:styleId="GPSL4numberedclauseChar" w:customStyle="1">
    <w:name w:val="GPS L4 numbered clause Char"/>
    <w:link w:val="GPSL4numberedclause"/>
    <w:rsid w:val="00014AD9"/>
    <w:rPr>
      <w:rFonts w:ascii="Calibri" w:cs="Arial" w:hAnsi="Calibri"/>
      <w:sz w:val="22"/>
      <w:szCs w:val="22"/>
      <w:lang w:eastAsia="zh-CN"/>
    </w:rPr>
  </w:style>
  <w:style w:type="character" w:styleId="GPSL2NumberedBoldHeadingChar" w:customStyle="1">
    <w:name w:val="GPS L2 Numbered Bold Heading Char"/>
    <w:link w:val="GPSL2NumberedBoldHeading"/>
    <w:locked w:val="1"/>
    <w:rsid w:val="00014AD9"/>
    <w:rPr>
      <w:rFonts w:ascii="Calibri" w:cs="Arial" w:hAnsi="Calibri"/>
      <w:b w:val="1"/>
      <w:sz w:val="22"/>
      <w:szCs w:val="22"/>
      <w:lang w:eastAsia="zh-CN"/>
    </w:rPr>
  </w:style>
  <w:style w:type="paragraph" w:styleId="GPSL2numberedclause" w:customStyle="1">
    <w:name w:val="GPS L2 numbered clause"/>
    <w:basedOn w:val="Normal"/>
    <w:link w:val="GPSL2numberedclauseChar1"/>
    <w:qFormat w:val="1"/>
    <w:rsid w:val="00014AD9"/>
    <w:pPr>
      <w:tabs>
        <w:tab w:val="left" w:pos="1134"/>
      </w:tabs>
      <w:overflowPunct w:val="1"/>
      <w:autoSpaceDE w:val="1"/>
      <w:autoSpaceDN w:val="1"/>
      <w:spacing w:after="120" w:before="120" w:line="240" w:lineRule="auto"/>
      <w:ind w:left="1134" w:hanging="567"/>
      <w:textAlignment w:val="auto"/>
    </w:pPr>
    <w:rPr>
      <w:rFonts w:ascii="Calibri" w:cs="Arial" w:hAnsi="Calibri"/>
      <w:szCs w:val="22"/>
      <w:lang w:eastAsia="zh-CN"/>
    </w:rPr>
  </w:style>
  <w:style w:type="character" w:styleId="GPSL2numberedclauseChar1" w:customStyle="1">
    <w:name w:val="GPS L2 numbered clause Char1"/>
    <w:link w:val="GPSL2numberedclause"/>
    <w:rsid w:val="00014AD9"/>
    <w:rPr>
      <w:rFonts w:ascii="Calibri" w:cs="Arial" w:hAnsi="Calibri"/>
      <w:sz w:val="22"/>
      <w:szCs w:val="22"/>
      <w:lang w:eastAsia="zh-CN"/>
    </w:rPr>
  </w:style>
  <w:style w:type="paragraph" w:styleId="Body3" w:customStyle="1">
    <w:name w:val="Body3"/>
    <w:basedOn w:val="Normal"/>
    <w:uiPriority w:val="99"/>
    <w:rsid w:val="00014AD9"/>
    <w:pPr>
      <w:overflowPunct w:val="1"/>
      <w:autoSpaceDE w:val="1"/>
      <w:autoSpaceDN w:val="1"/>
      <w:adjustRightInd w:val="1"/>
      <w:spacing w:after="220" w:line="240" w:lineRule="auto"/>
      <w:ind w:left="1412"/>
      <w:textAlignment w:val="auto"/>
    </w:pPr>
    <w:rPr>
      <w:rFonts w:ascii="Trebuchet MS" w:hAnsi="Trebuchet MS"/>
      <w:sz w:val="20"/>
    </w:rPr>
  </w:style>
  <w:style w:type="character" w:styleId="GPSDefinitionL2Char" w:customStyle="1">
    <w:name w:val="GPS Definition L2 Char"/>
    <w:link w:val="GPSDefinitionL2"/>
    <w:locked w:val="1"/>
    <w:rsid w:val="00014AD9"/>
    <w:rPr>
      <w:rFonts w:ascii="Arial" w:cs="Arial" w:hAnsi="Arial"/>
      <w:sz w:val="22"/>
      <w:szCs w:val="22"/>
      <w:lang w:eastAsia="en-US"/>
    </w:rPr>
  </w:style>
  <w:style w:type="paragraph" w:styleId="Revision">
    <w:name w:val="Revision"/>
    <w:hidden w:val="1"/>
    <w:uiPriority w:val="99"/>
    <w:semiHidden w:val="1"/>
    <w:rsid w:val="00F73B5B"/>
    <w:rPr>
      <w:sz w:val="22"/>
      <w:lang w:eastAsia="en-US"/>
    </w:r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f+JTDstPdFJpMb2R8xYfyO4qDA==">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2018-12-13T13:54:00Z</dcterms:created>
  <dc:creator>Duncan Shinn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